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5B01EE21"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0B12BD">
        <w:rPr>
          <w:rFonts w:cs="Arial"/>
          <w:bCs/>
          <w:sz w:val="22"/>
          <w:szCs w:val="22"/>
        </w:rPr>
        <w:t>1239</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4ADF6C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971BF8" w:rsidRPr="00971BF8">
        <w:rPr>
          <w:rFonts w:ascii="Arial" w:hAnsi="Arial" w:cs="Arial"/>
          <w:b/>
          <w:sz w:val="22"/>
          <w:szCs w:val="22"/>
        </w:rPr>
        <w:t>Reply LS on UE location aspects in NTN</w:t>
      </w:r>
    </w:p>
    <w:p w14:paraId="3838251C" w14:textId="26C24D1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200020</w:t>
      </w:r>
      <w:r w:rsidR="00132CD5">
        <w:rPr>
          <w:rFonts w:ascii="Arial" w:hAnsi="Arial" w:cs="Arial"/>
          <w:b/>
          <w:bCs/>
          <w:sz w:val="22"/>
          <w:szCs w:val="22"/>
        </w:rPr>
        <w:t xml:space="preserve"> / R</w:t>
      </w:r>
      <w:r w:rsidR="004E04B7">
        <w:rPr>
          <w:rFonts w:ascii="Arial" w:hAnsi="Arial" w:cs="Arial"/>
          <w:b/>
          <w:bCs/>
          <w:sz w:val="22"/>
          <w:szCs w:val="22"/>
        </w:rPr>
        <w:t>2-21</w:t>
      </w:r>
      <w:r w:rsidR="00971BF8">
        <w:rPr>
          <w:rFonts w:ascii="Arial" w:hAnsi="Arial" w:cs="Arial"/>
          <w:b/>
          <w:bCs/>
          <w:sz w:val="22"/>
          <w:szCs w:val="22"/>
        </w:rPr>
        <w:t>11547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6328A846"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49F784A"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Reply LS </w:t>
      </w:r>
      <w:r w:rsidR="00F337A3" w:rsidRPr="00F42CF4">
        <w:rPr>
          <w:rFonts w:ascii="Arial" w:hAnsi="Arial" w:cs="Arial"/>
        </w:rPr>
        <w:t>in S2-2</w:t>
      </w:r>
      <w:r w:rsidR="00971BF8" w:rsidRPr="00F42CF4">
        <w:rPr>
          <w:rFonts w:ascii="Arial" w:hAnsi="Arial" w:cs="Arial"/>
        </w:rPr>
        <w:t>200020</w:t>
      </w:r>
      <w:r w:rsidR="00F337A3" w:rsidRPr="00F42CF4">
        <w:rPr>
          <w:rFonts w:ascii="Arial" w:hAnsi="Arial" w:cs="Arial"/>
        </w:rPr>
        <w:t xml:space="preserve"> / R2-21</w:t>
      </w:r>
      <w:r w:rsidR="00971BF8" w:rsidRPr="00F42CF4">
        <w:rPr>
          <w:rFonts w:ascii="Arial" w:hAnsi="Arial" w:cs="Arial"/>
        </w:rPr>
        <w:t>11547</w:t>
      </w:r>
      <w:r w:rsidR="00F337A3" w:rsidRPr="00F42CF4">
        <w:rPr>
          <w:rFonts w:ascii="Arial" w:hAnsi="Arial" w:cs="Arial"/>
        </w:rPr>
        <w:t xml:space="preserve"> </w:t>
      </w:r>
      <w:r w:rsidR="004E04B7" w:rsidRPr="00F42CF4">
        <w:rPr>
          <w:rFonts w:ascii="Arial" w:hAnsi="Arial" w:cs="Arial"/>
        </w:rPr>
        <w:t xml:space="preserve">on </w:t>
      </w:r>
      <w:r w:rsidR="00971BF8" w:rsidRPr="00F42CF4">
        <w:rPr>
          <w:rFonts w:ascii="Arial" w:hAnsi="Arial" w:cs="Arial"/>
        </w:rPr>
        <w:t xml:space="preserve">supporting broadcast of multiple tracking areas per PLMN.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2F49C15C" w14:textId="77777777" w:rsidR="00971BF8" w:rsidRPr="00971BF8" w:rsidRDefault="00971BF8" w:rsidP="00971BF8">
            <w:pPr>
              <w:overflowPunct/>
              <w:autoSpaceDE/>
              <w:autoSpaceDN/>
              <w:adjustRightInd/>
              <w:spacing w:after="0"/>
              <w:textAlignment w:val="auto"/>
              <w:rPr>
                <w:rFonts w:ascii="Arial" w:eastAsia="SimSun" w:hAnsi="Arial" w:cs="Arial"/>
                <w:color w:val="000000"/>
                <w:lang w:eastAsia="ko-KR"/>
              </w:rPr>
            </w:pPr>
            <w:r w:rsidRPr="00971BF8">
              <w:rPr>
                <w:rFonts w:ascii="Arial" w:eastAsia="SimSun" w:hAnsi="Arial" w:cs="Arial"/>
                <w:color w:val="000000"/>
                <w:lang w:eastAsia="ko-KR"/>
              </w:rPr>
              <w:t>RAN2 assumes that a given satellite beam can cover simultaneously multiple tracking areas from same or different countries. Typically, a LEO satellite can generate a beam covering an area of ~100km diameter while a GEO satellite could cover similar or larger area. For example, a given beam can cover part of Germany, Austria, Switzerland, and Liechtenstein, and one or several TACs per country. The different PLMNs may share or not share TACs in the NR NTN cell.</w:t>
            </w:r>
          </w:p>
          <w:p w14:paraId="3B8BA104" w14:textId="77777777" w:rsidR="00971BF8" w:rsidRPr="00971BF8" w:rsidRDefault="00971BF8" w:rsidP="00971BF8">
            <w:pPr>
              <w:overflowPunct/>
              <w:autoSpaceDE/>
              <w:autoSpaceDN/>
              <w:adjustRightInd/>
              <w:spacing w:after="0"/>
              <w:textAlignment w:val="auto"/>
              <w:rPr>
                <w:rFonts w:ascii="Arial" w:eastAsia="SimSun" w:hAnsi="Arial" w:cs="Arial"/>
                <w:color w:val="000000"/>
                <w:lang w:eastAsia="ko-KR"/>
              </w:rPr>
            </w:pPr>
          </w:p>
          <w:p w14:paraId="76ACF1F0" w14:textId="77777777" w:rsidR="00971BF8" w:rsidRPr="00971BF8" w:rsidRDefault="00971BF8" w:rsidP="00971BF8">
            <w:pPr>
              <w:overflowPunct/>
              <w:autoSpaceDE/>
              <w:autoSpaceDN/>
              <w:adjustRightInd/>
              <w:spacing w:after="0"/>
              <w:textAlignment w:val="auto"/>
              <w:rPr>
                <w:rFonts w:ascii="Arial" w:eastAsia="SimSun" w:hAnsi="Arial" w:cs="Arial"/>
                <w:color w:val="000000"/>
                <w:lang w:eastAsia="ko-KR"/>
              </w:rPr>
            </w:pPr>
            <w:r w:rsidRPr="00971BF8">
              <w:rPr>
                <w:rFonts w:ascii="Arial" w:eastAsia="SimSun" w:hAnsi="Arial" w:cs="Arial"/>
                <w:color w:val="000000"/>
                <w:lang w:eastAsia="ko-KR"/>
              </w:rPr>
              <w:t xml:space="preserve">Currently RAN2 assumes maximum 12 TACs per NR NTN cell, including same or different PLMNs, can be broadcast. </w:t>
            </w:r>
          </w:p>
          <w:p w14:paraId="63CA7C12" w14:textId="77777777" w:rsidR="00971BF8" w:rsidRPr="00971BF8" w:rsidRDefault="00971BF8" w:rsidP="00971BF8">
            <w:pPr>
              <w:overflowPunct/>
              <w:autoSpaceDE/>
              <w:autoSpaceDN/>
              <w:adjustRightInd/>
              <w:spacing w:after="0"/>
              <w:textAlignment w:val="auto"/>
              <w:rPr>
                <w:rFonts w:ascii="Arial" w:eastAsia="SimSun" w:hAnsi="Arial" w:cs="Arial"/>
                <w:color w:val="000000"/>
                <w:lang w:eastAsia="ko-KR"/>
              </w:rPr>
            </w:pPr>
          </w:p>
          <w:p w14:paraId="59A5D673" w14:textId="101FE4DF" w:rsidR="00971BF8" w:rsidRDefault="00971BF8" w:rsidP="00971BF8">
            <w:pPr>
              <w:overflowPunct/>
              <w:autoSpaceDE/>
              <w:autoSpaceDN/>
              <w:adjustRightInd/>
              <w:spacing w:after="0"/>
              <w:textAlignment w:val="auto"/>
              <w:rPr>
                <w:sz w:val="22"/>
                <w:szCs w:val="22"/>
              </w:rPr>
            </w:pPr>
            <w:r w:rsidRPr="00971BF8">
              <w:rPr>
                <w:rFonts w:ascii="Arial" w:eastAsia="SimSun" w:hAnsi="Arial" w:cs="Arial"/>
                <w:color w:val="000000"/>
                <w:lang w:eastAsia="ko-KR"/>
              </w:rPr>
              <w:t>In order to size this signalling, RAN2 would like to ask for feedback on the expected size of the earth-fixed tracking area and the maximum number of TACs from the same or different PLMN that needs to be broadcast in a radio cell.</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2E55E7A4" w14:textId="5724FF21" w:rsidR="00971BF8" w:rsidRPr="00F42CF4" w:rsidRDefault="00971BF8" w:rsidP="00B70E95">
      <w:pPr>
        <w:rPr>
          <w:rFonts w:ascii="Arial" w:hAnsi="Arial" w:cs="Arial"/>
        </w:rPr>
      </w:pPr>
      <w:r w:rsidRPr="00F42CF4">
        <w:rPr>
          <w:rFonts w:ascii="Arial" w:hAnsi="Arial" w:cs="Arial"/>
        </w:rPr>
        <w:t>SA2 agrees with RAN2 that a satellite beam (e.g. even a minimal beam) could sometimes cover 3 or more countries</w:t>
      </w:r>
      <w:r w:rsidR="009070FA" w:rsidRPr="00F42CF4">
        <w:rPr>
          <w:rFonts w:ascii="Arial" w:hAnsi="Arial" w:cs="Arial"/>
        </w:rPr>
        <w:t xml:space="preserve"> – e.g</w:t>
      </w:r>
      <w:r w:rsidR="00F3617F" w:rsidRPr="00F42CF4">
        <w:rPr>
          <w:rFonts w:ascii="Arial" w:hAnsi="Arial" w:cs="Arial"/>
        </w:rPr>
        <w:t>.</w:t>
      </w:r>
      <w:r w:rsidR="009070FA" w:rsidRPr="00F42CF4">
        <w:rPr>
          <w:rFonts w:ascii="Arial" w:hAnsi="Arial" w:cs="Arial"/>
        </w:rPr>
        <w:t xml:space="preserve"> at a tripoint. Assuming 4 PLMNs typically per country could lead to a need to support at least 12 PLMNs</w:t>
      </w:r>
      <w:r w:rsidR="00266A8F" w:rsidRPr="00F42CF4">
        <w:rPr>
          <w:rFonts w:ascii="Arial" w:hAnsi="Arial" w:cs="Arial"/>
        </w:rPr>
        <w:t xml:space="preserve"> </w:t>
      </w:r>
      <w:r w:rsidR="00F3617F" w:rsidRPr="00F42CF4">
        <w:rPr>
          <w:rFonts w:ascii="Arial" w:hAnsi="Arial" w:cs="Arial"/>
        </w:rPr>
        <w:t>which</w:t>
      </w:r>
      <w:r w:rsidR="00266A8F" w:rsidRPr="00F42CF4">
        <w:rPr>
          <w:rFonts w:ascii="Arial" w:hAnsi="Arial" w:cs="Arial"/>
        </w:rPr>
        <w:t xml:space="preserve"> would imply at </w:t>
      </w:r>
      <w:r w:rsidR="00F3617F" w:rsidRPr="00F42CF4">
        <w:rPr>
          <w:rFonts w:ascii="Arial" w:hAnsi="Arial" w:cs="Arial"/>
        </w:rPr>
        <w:t>least</w:t>
      </w:r>
      <w:r w:rsidR="00266A8F" w:rsidRPr="00F42CF4">
        <w:rPr>
          <w:rFonts w:ascii="Arial" w:hAnsi="Arial" w:cs="Arial"/>
        </w:rPr>
        <w:t xml:space="preserve"> 12 TACs if each PLMN operator defines its own TACs</w:t>
      </w:r>
      <w:r w:rsidR="009070FA" w:rsidRPr="00F42CF4">
        <w:rPr>
          <w:rFonts w:ascii="Arial" w:hAnsi="Arial" w:cs="Arial"/>
        </w:rPr>
        <w:t>. Therefore, SA2 agrees with RAN2 that PLM</w:t>
      </w:r>
      <w:r w:rsidR="00F3617F" w:rsidRPr="00F42CF4">
        <w:rPr>
          <w:rFonts w:ascii="Arial" w:hAnsi="Arial" w:cs="Arial"/>
        </w:rPr>
        <w:t>N</w:t>
      </w:r>
      <w:r w:rsidR="009070FA" w:rsidRPr="00F42CF4">
        <w:rPr>
          <w:rFonts w:ascii="Arial" w:hAnsi="Arial" w:cs="Arial"/>
        </w:rPr>
        <w:t xml:space="preserve"> sharing of TACs in an NR NTN cell could be beneficial or even essential. SA2 does not consider it likely that an NR NTN cell should need to cover many TAs because PLMN operators can configure TA size to be similar to NR NTN cell size. Because different NR NTN RATs (e.g. LEO, MEO, GEO) must use</w:t>
      </w:r>
      <w:r w:rsidR="00F42CF4">
        <w:rPr>
          <w:rFonts w:ascii="Arial" w:hAnsi="Arial" w:cs="Arial"/>
        </w:rPr>
        <w:t xml:space="preserve"> different</w:t>
      </w:r>
      <w:r w:rsidR="009070FA" w:rsidRPr="00F42CF4">
        <w:rPr>
          <w:rFonts w:ascii="Arial" w:hAnsi="Arial" w:cs="Arial"/>
        </w:rPr>
        <w:t xml:space="preserve"> TAs, PLMN operators can configure larger TAs for NTN RATs with larger cell size (e.g. GEO) and smaller TAs for NTN RATs with </w:t>
      </w:r>
      <w:r w:rsidR="00F3617F" w:rsidRPr="00F42CF4">
        <w:rPr>
          <w:rFonts w:ascii="Arial" w:hAnsi="Arial" w:cs="Arial"/>
        </w:rPr>
        <w:t>smaller</w:t>
      </w:r>
      <w:r w:rsidR="009070FA" w:rsidRPr="00F42CF4">
        <w:rPr>
          <w:rFonts w:ascii="Arial" w:hAnsi="Arial" w:cs="Arial"/>
        </w:rPr>
        <w:t xml:space="preserve"> cell size (e.g. LEO). So a need to broadcast many TACs in an </w:t>
      </w:r>
      <w:r w:rsidR="00F42CF4">
        <w:rPr>
          <w:rFonts w:ascii="Arial" w:hAnsi="Arial" w:cs="Arial"/>
        </w:rPr>
        <w:t xml:space="preserve">NR </w:t>
      </w:r>
      <w:r w:rsidR="009070FA" w:rsidRPr="00F42CF4">
        <w:rPr>
          <w:rFonts w:ascii="Arial" w:hAnsi="Arial" w:cs="Arial"/>
        </w:rPr>
        <w:t xml:space="preserve">NTN cell in the same country should not arise. </w:t>
      </w:r>
      <w:r w:rsidR="00266A8F" w:rsidRPr="00F42CF4">
        <w:rPr>
          <w:rFonts w:ascii="Arial" w:hAnsi="Arial" w:cs="Arial"/>
        </w:rPr>
        <w:t>If</w:t>
      </w:r>
      <w:r w:rsidR="009070FA" w:rsidRPr="00F42CF4">
        <w:rPr>
          <w:rFonts w:ascii="Arial" w:hAnsi="Arial" w:cs="Arial"/>
        </w:rPr>
        <w:t xml:space="preserve"> an NTN cell </w:t>
      </w:r>
      <w:r w:rsidR="008B7B20">
        <w:rPr>
          <w:rFonts w:ascii="Arial" w:hAnsi="Arial" w:cs="Arial"/>
        </w:rPr>
        <w:t xml:space="preserve">coverage area </w:t>
      </w:r>
      <w:r w:rsidR="009070FA" w:rsidRPr="00F42CF4">
        <w:rPr>
          <w:rFonts w:ascii="Arial" w:hAnsi="Arial" w:cs="Arial"/>
        </w:rPr>
        <w:t xml:space="preserve">is </w:t>
      </w:r>
      <w:r w:rsidR="00F3617F" w:rsidRPr="00F42CF4">
        <w:rPr>
          <w:rFonts w:ascii="Arial" w:hAnsi="Arial" w:cs="Arial"/>
        </w:rPr>
        <w:t>entirely</w:t>
      </w:r>
      <w:r w:rsidR="009070FA" w:rsidRPr="00F42CF4">
        <w:rPr>
          <w:rFonts w:ascii="Arial" w:hAnsi="Arial" w:cs="Arial"/>
        </w:rPr>
        <w:t xml:space="preserve"> within one </w:t>
      </w:r>
      <w:r w:rsidR="00F3617F" w:rsidRPr="00F42CF4">
        <w:rPr>
          <w:rFonts w:ascii="Arial" w:hAnsi="Arial" w:cs="Arial"/>
        </w:rPr>
        <w:t>country</w:t>
      </w:r>
      <w:r w:rsidR="009070FA" w:rsidRPr="00F42CF4">
        <w:rPr>
          <w:rFonts w:ascii="Arial" w:hAnsi="Arial" w:cs="Arial"/>
        </w:rPr>
        <w:t xml:space="preserve">, SA2 can visualize a need to </w:t>
      </w:r>
      <w:r w:rsidR="00F3617F" w:rsidRPr="00F42CF4">
        <w:rPr>
          <w:rFonts w:ascii="Arial" w:hAnsi="Arial" w:cs="Arial"/>
        </w:rPr>
        <w:t>broadcast</w:t>
      </w:r>
      <w:r w:rsidR="009070FA" w:rsidRPr="00F42CF4">
        <w:rPr>
          <w:rFonts w:ascii="Arial" w:hAnsi="Arial" w:cs="Arial"/>
        </w:rPr>
        <w:t xml:space="preserve"> </w:t>
      </w:r>
      <w:r w:rsidR="00F42CF4">
        <w:rPr>
          <w:rFonts w:ascii="Arial" w:hAnsi="Arial" w:cs="Arial"/>
        </w:rPr>
        <w:t xml:space="preserve">up to </w:t>
      </w:r>
      <w:r w:rsidR="009070FA" w:rsidRPr="00F42CF4">
        <w:rPr>
          <w:rFonts w:ascii="Arial" w:hAnsi="Arial" w:cs="Arial"/>
        </w:rPr>
        <w:t>4 TACs to</w:t>
      </w:r>
      <w:r w:rsidR="008B7B20">
        <w:rPr>
          <w:rFonts w:ascii="Arial" w:hAnsi="Arial" w:cs="Arial"/>
        </w:rPr>
        <w:t xml:space="preserve"> support</w:t>
      </w:r>
      <w:r w:rsidR="009070FA" w:rsidRPr="00F42CF4">
        <w:rPr>
          <w:rFonts w:ascii="Arial" w:hAnsi="Arial" w:cs="Arial"/>
        </w:rPr>
        <w:t xml:space="preserve"> the case where</w:t>
      </w:r>
      <w:r w:rsidR="00266A8F" w:rsidRPr="00F42CF4">
        <w:rPr>
          <w:rFonts w:ascii="Arial" w:hAnsi="Arial" w:cs="Arial"/>
        </w:rPr>
        <w:t xml:space="preserve"> an NR NTN cell</w:t>
      </w:r>
      <w:r w:rsidR="009070FA" w:rsidRPr="00F42CF4">
        <w:rPr>
          <w:rFonts w:ascii="Arial" w:hAnsi="Arial" w:cs="Arial"/>
        </w:rPr>
        <w:t xml:space="preserve"> </w:t>
      </w:r>
      <w:r w:rsidR="00266A8F" w:rsidRPr="00F42CF4">
        <w:rPr>
          <w:rFonts w:ascii="Arial" w:hAnsi="Arial" w:cs="Arial"/>
        </w:rPr>
        <w:t>covers a “tripoint” or “quadripoint</w:t>
      </w:r>
      <w:r w:rsidR="00F3617F" w:rsidRPr="00F42CF4">
        <w:rPr>
          <w:rFonts w:ascii="Arial" w:hAnsi="Arial" w:cs="Arial"/>
        </w:rPr>
        <w:t>”</w:t>
      </w:r>
      <w:r w:rsidR="00266A8F" w:rsidRPr="00F42CF4">
        <w:rPr>
          <w:rFonts w:ascii="Arial" w:hAnsi="Arial" w:cs="Arial"/>
        </w:rPr>
        <w:t xml:space="preserve"> meeting of 3 or 4 TAs. When an NR NTN cell covers 2 or </w:t>
      </w:r>
      <w:r w:rsidR="00F3617F" w:rsidRPr="00F42CF4">
        <w:rPr>
          <w:rFonts w:ascii="Arial" w:hAnsi="Arial" w:cs="Arial"/>
        </w:rPr>
        <w:t>more</w:t>
      </w:r>
      <w:r w:rsidR="00266A8F" w:rsidRPr="00F42CF4">
        <w:rPr>
          <w:rFonts w:ascii="Arial" w:hAnsi="Arial" w:cs="Arial"/>
        </w:rPr>
        <w:t xml:space="preserve"> </w:t>
      </w:r>
      <w:r w:rsidR="00F3617F" w:rsidRPr="00F42CF4">
        <w:rPr>
          <w:rFonts w:ascii="Arial" w:hAnsi="Arial" w:cs="Arial"/>
        </w:rPr>
        <w:t>countries</w:t>
      </w:r>
      <w:r w:rsidR="00266A8F" w:rsidRPr="00F42CF4">
        <w:rPr>
          <w:rFonts w:ascii="Arial" w:hAnsi="Arial" w:cs="Arial"/>
        </w:rPr>
        <w:t xml:space="preserve"> (i.e. spans an international border), SA2 </w:t>
      </w:r>
      <w:r w:rsidR="00F3617F" w:rsidRPr="00F42CF4">
        <w:rPr>
          <w:rFonts w:ascii="Arial" w:hAnsi="Arial" w:cs="Arial"/>
        </w:rPr>
        <w:t>considers</w:t>
      </w:r>
      <w:r w:rsidR="00266A8F" w:rsidRPr="00F42CF4">
        <w:rPr>
          <w:rFonts w:ascii="Arial" w:hAnsi="Arial" w:cs="Arial"/>
        </w:rPr>
        <w:t xml:space="preserve"> it more likely that the </w:t>
      </w:r>
      <w:r w:rsidR="008B7B20">
        <w:rPr>
          <w:rFonts w:ascii="Arial" w:hAnsi="Arial" w:cs="Arial"/>
        </w:rPr>
        <w:t xml:space="preserve">NR NTN </w:t>
      </w:r>
      <w:r w:rsidR="00266A8F" w:rsidRPr="00F42CF4">
        <w:rPr>
          <w:rFonts w:ascii="Arial" w:hAnsi="Arial" w:cs="Arial"/>
        </w:rPr>
        <w:t xml:space="preserve">cell </w:t>
      </w:r>
      <w:r w:rsidR="00F3617F" w:rsidRPr="00F42CF4">
        <w:rPr>
          <w:rFonts w:ascii="Arial" w:hAnsi="Arial" w:cs="Arial"/>
        </w:rPr>
        <w:t>would</w:t>
      </w:r>
      <w:r w:rsidR="00266A8F" w:rsidRPr="00F42CF4">
        <w:rPr>
          <w:rFonts w:ascii="Arial" w:hAnsi="Arial" w:cs="Arial"/>
        </w:rPr>
        <w:t xml:space="preserve"> then </w:t>
      </w:r>
      <w:r w:rsidR="00F3617F" w:rsidRPr="00F42CF4">
        <w:rPr>
          <w:rFonts w:ascii="Arial" w:hAnsi="Arial" w:cs="Arial"/>
        </w:rPr>
        <w:t>only</w:t>
      </w:r>
      <w:r w:rsidR="00266A8F" w:rsidRPr="00F42CF4">
        <w:rPr>
          <w:rFonts w:ascii="Arial" w:hAnsi="Arial" w:cs="Arial"/>
        </w:rPr>
        <w:t xml:space="preserve"> cover 1 or 2 TAs in </w:t>
      </w:r>
      <w:r w:rsidR="00F3617F" w:rsidRPr="00F42CF4">
        <w:rPr>
          <w:rFonts w:ascii="Arial" w:hAnsi="Arial" w:cs="Arial"/>
        </w:rPr>
        <w:t>each</w:t>
      </w:r>
      <w:r w:rsidR="00266A8F" w:rsidRPr="00F42CF4">
        <w:rPr>
          <w:rFonts w:ascii="Arial" w:hAnsi="Arial" w:cs="Arial"/>
        </w:rPr>
        <w:t xml:space="preserve"> </w:t>
      </w:r>
      <w:r w:rsidR="00F3617F" w:rsidRPr="00F42CF4">
        <w:rPr>
          <w:rFonts w:ascii="Arial" w:hAnsi="Arial" w:cs="Arial"/>
        </w:rPr>
        <w:t>country</w:t>
      </w:r>
      <w:r w:rsidR="00266A8F" w:rsidRPr="00F42CF4">
        <w:rPr>
          <w:rFonts w:ascii="Arial" w:hAnsi="Arial" w:cs="Arial"/>
        </w:rPr>
        <w:t xml:space="preserve"> abutting the border with the</w:t>
      </w:r>
      <w:r w:rsidR="00F3617F" w:rsidRPr="00F42CF4">
        <w:rPr>
          <w:rFonts w:ascii="Arial" w:hAnsi="Arial" w:cs="Arial"/>
        </w:rPr>
        <w:t xml:space="preserve"> other</w:t>
      </w:r>
      <w:r w:rsidR="00266A8F" w:rsidRPr="00F42CF4">
        <w:rPr>
          <w:rFonts w:ascii="Arial" w:hAnsi="Arial" w:cs="Arial"/>
        </w:rPr>
        <w:t xml:space="preserve"> country or </w:t>
      </w:r>
      <w:r w:rsidR="00F3617F" w:rsidRPr="00F42CF4">
        <w:rPr>
          <w:rFonts w:ascii="Arial" w:hAnsi="Arial" w:cs="Arial"/>
        </w:rPr>
        <w:t>countries</w:t>
      </w:r>
      <w:r w:rsidR="00266A8F" w:rsidRPr="00F42CF4">
        <w:rPr>
          <w:rFonts w:ascii="Arial" w:hAnsi="Arial" w:cs="Arial"/>
        </w:rPr>
        <w:t xml:space="preserve">. For </w:t>
      </w:r>
      <w:r w:rsidR="00F3617F" w:rsidRPr="00F42CF4">
        <w:rPr>
          <w:rFonts w:ascii="Arial" w:hAnsi="Arial" w:cs="Arial"/>
        </w:rPr>
        <w:t>example</w:t>
      </w:r>
      <w:r w:rsidR="00266A8F" w:rsidRPr="00F42CF4">
        <w:rPr>
          <w:rFonts w:ascii="Arial" w:hAnsi="Arial" w:cs="Arial"/>
        </w:rPr>
        <w:t xml:space="preserve">, assuming </w:t>
      </w:r>
      <w:r w:rsidR="005600F8">
        <w:rPr>
          <w:rFonts w:ascii="Arial" w:hAnsi="Arial" w:cs="Arial"/>
        </w:rPr>
        <w:t>an NR NTN</w:t>
      </w:r>
      <w:r w:rsidR="00266A8F" w:rsidRPr="00F42CF4">
        <w:rPr>
          <w:rFonts w:ascii="Arial" w:hAnsi="Arial" w:cs="Arial"/>
        </w:rPr>
        <w:t xml:space="preserve"> cell covers 4 </w:t>
      </w:r>
      <w:r w:rsidR="00F3617F" w:rsidRPr="00F42CF4">
        <w:rPr>
          <w:rFonts w:ascii="Arial" w:hAnsi="Arial" w:cs="Arial"/>
        </w:rPr>
        <w:t>countries</w:t>
      </w:r>
      <w:r w:rsidR="00266A8F" w:rsidRPr="00F42CF4">
        <w:rPr>
          <w:rFonts w:ascii="Arial" w:hAnsi="Arial" w:cs="Arial"/>
        </w:rPr>
        <w:t xml:space="preserve"> and 2 TAs </w:t>
      </w:r>
      <w:r w:rsidR="00F3617F" w:rsidRPr="00F42CF4">
        <w:rPr>
          <w:rFonts w:ascii="Arial" w:hAnsi="Arial" w:cs="Arial"/>
        </w:rPr>
        <w:t>in</w:t>
      </w:r>
      <w:r w:rsidR="00266A8F" w:rsidRPr="00F42CF4">
        <w:rPr>
          <w:rFonts w:ascii="Arial" w:hAnsi="Arial" w:cs="Arial"/>
        </w:rPr>
        <w:t xml:space="preserve"> </w:t>
      </w:r>
      <w:r w:rsidR="00F3617F" w:rsidRPr="00F42CF4">
        <w:rPr>
          <w:rFonts w:ascii="Arial" w:hAnsi="Arial" w:cs="Arial"/>
        </w:rPr>
        <w:t>e</w:t>
      </w:r>
      <w:r w:rsidR="00266A8F" w:rsidRPr="00F42CF4">
        <w:rPr>
          <w:rFonts w:ascii="Arial" w:hAnsi="Arial" w:cs="Arial"/>
        </w:rPr>
        <w:t xml:space="preserve">ach </w:t>
      </w:r>
      <w:r w:rsidR="00F3617F" w:rsidRPr="00F42CF4">
        <w:rPr>
          <w:rFonts w:ascii="Arial" w:hAnsi="Arial" w:cs="Arial"/>
        </w:rPr>
        <w:t>country</w:t>
      </w:r>
      <w:r w:rsidR="005600F8">
        <w:rPr>
          <w:rFonts w:ascii="Arial" w:hAnsi="Arial" w:cs="Arial"/>
        </w:rPr>
        <w:t xml:space="preserve">, the total coverage would be </w:t>
      </w:r>
      <w:r w:rsidR="00266A8F" w:rsidRPr="00F42CF4">
        <w:rPr>
          <w:rFonts w:ascii="Arial" w:hAnsi="Arial" w:cs="Arial"/>
        </w:rPr>
        <w:t>8</w:t>
      </w:r>
      <w:r w:rsidR="005600F8">
        <w:rPr>
          <w:rFonts w:ascii="Arial" w:hAnsi="Arial" w:cs="Arial"/>
        </w:rPr>
        <w:t xml:space="preserve"> TACs</w:t>
      </w:r>
      <w:r w:rsidR="00266A8F" w:rsidRPr="00F42CF4">
        <w:rPr>
          <w:rFonts w:ascii="Arial" w:hAnsi="Arial" w:cs="Arial"/>
        </w:rPr>
        <w:t xml:space="preserve">. Thus, SA2 agrees with </w:t>
      </w:r>
      <w:r w:rsidR="00266A8F" w:rsidRPr="00F42CF4">
        <w:rPr>
          <w:rFonts w:ascii="Arial" w:hAnsi="Arial" w:cs="Arial"/>
        </w:rPr>
        <w:lastRenderedPageBreak/>
        <w:t xml:space="preserve">RAN2 that a maximum </w:t>
      </w:r>
      <w:r w:rsidR="00F3617F" w:rsidRPr="00F42CF4">
        <w:rPr>
          <w:rFonts w:ascii="Arial" w:hAnsi="Arial" w:cs="Arial"/>
        </w:rPr>
        <w:t xml:space="preserve">of </w:t>
      </w:r>
      <w:r w:rsidR="00266A8F" w:rsidRPr="00F42CF4">
        <w:rPr>
          <w:rFonts w:ascii="Arial" w:hAnsi="Arial" w:cs="Arial"/>
        </w:rPr>
        <w:t xml:space="preserve">12 TACs per NR NTN cell </w:t>
      </w:r>
      <w:r w:rsidR="00F3617F" w:rsidRPr="00F42CF4">
        <w:rPr>
          <w:rFonts w:ascii="Arial" w:hAnsi="Arial" w:cs="Arial"/>
        </w:rPr>
        <w:t>should</w:t>
      </w:r>
      <w:r w:rsidR="00266A8F" w:rsidRPr="00F42CF4">
        <w:rPr>
          <w:rFonts w:ascii="Arial" w:hAnsi="Arial" w:cs="Arial"/>
        </w:rPr>
        <w:t xml:space="preserve"> </w:t>
      </w:r>
      <w:r w:rsidR="00F3617F" w:rsidRPr="00F42CF4">
        <w:rPr>
          <w:rFonts w:ascii="Arial" w:hAnsi="Arial" w:cs="Arial"/>
        </w:rPr>
        <w:t xml:space="preserve">usually </w:t>
      </w:r>
      <w:r w:rsidR="00266A8F" w:rsidRPr="00F42CF4">
        <w:rPr>
          <w:rFonts w:ascii="Arial" w:hAnsi="Arial" w:cs="Arial"/>
        </w:rPr>
        <w:t xml:space="preserve">be enough. In rare cases where an NR NTN cell covers more </w:t>
      </w:r>
      <w:r w:rsidR="005600F8">
        <w:rPr>
          <w:rFonts w:ascii="Arial" w:hAnsi="Arial" w:cs="Arial"/>
        </w:rPr>
        <w:t xml:space="preserve">than 12 </w:t>
      </w:r>
      <w:r w:rsidR="00266A8F" w:rsidRPr="00F42CF4">
        <w:rPr>
          <w:rFonts w:ascii="Arial" w:hAnsi="Arial" w:cs="Arial"/>
        </w:rPr>
        <w:t xml:space="preserve">TAs, </w:t>
      </w:r>
      <w:r w:rsidR="00F3617F" w:rsidRPr="00F42CF4">
        <w:rPr>
          <w:rFonts w:ascii="Arial" w:hAnsi="Arial" w:cs="Arial"/>
        </w:rPr>
        <w:t xml:space="preserve">the </w:t>
      </w:r>
      <w:r w:rsidR="005600F8">
        <w:rPr>
          <w:rFonts w:ascii="Arial" w:hAnsi="Arial" w:cs="Arial"/>
        </w:rPr>
        <w:t xml:space="preserve">NR NTN </w:t>
      </w:r>
      <w:r w:rsidR="00F3617F" w:rsidRPr="00F42CF4">
        <w:rPr>
          <w:rFonts w:ascii="Arial" w:hAnsi="Arial" w:cs="Arial"/>
        </w:rPr>
        <w:t xml:space="preserve">cell can just omit </w:t>
      </w:r>
      <w:r w:rsidR="005600F8">
        <w:rPr>
          <w:rFonts w:ascii="Arial" w:hAnsi="Arial" w:cs="Arial"/>
        </w:rPr>
        <w:t xml:space="preserve">broadcasting of </w:t>
      </w:r>
      <w:r w:rsidR="00F3617F" w:rsidRPr="00F42CF4">
        <w:rPr>
          <w:rFonts w:ascii="Arial" w:hAnsi="Arial" w:cs="Arial"/>
        </w:rPr>
        <w:t xml:space="preserve">some </w:t>
      </w:r>
      <w:r w:rsidR="005600F8">
        <w:rPr>
          <w:rFonts w:ascii="Arial" w:hAnsi="Arial" w:cs="Arial"/>
        </w:rPr>
        <w:t xml:space="preserve">of the </w:t>
      </w:r>
      <w:r w:rsidR="00F3617F" w:rsidRPr="00F42CF4">
        <w:rPr>
          <w:rFonts w:ascii="Arial" w:hAnsi="Arial" w:cs="Arial"/>
        </w:rPr>
        <w:t>TACs</w:t>
      </w:r>
      <w:r w:rsidR="005600F8">
        <w:rPr>
          <w:rFonts w:ascii="Arial" w:hAnsi="Arial" w:cs="Arial"/>
        </w:rPr>
        <w:t xml:space="preserve">, </w:t>
      </w:r>
      <w:r w:rsidR="00F3617F" w:rsidRPr="00F42CF4">
        <w:rPr>
          <w:rFonts w:ascii="Arial" w:hAnsi="Arial" w:cs="Arial"/>
        </w:rPr>
        <w:t>which should not interfere with network operation</w:t>
      </w:r>
      <w:r w:rsidR="005600F8">
        <w:rPr>
          <w:rFonts w:ascii="Arial" w:hAnsi="Arial" w:cs="Arial"/>
        </w:rPr>
        <w:t xml:space="preserve"> since broadcasting of TACs has been designed to allow for broadcasting of only a single TAC or an incomplete set of TACs</w:t>
      </w:r>
      <w:r w:rsidR="008B7B20">
        <w:rPr>
          <w:rFonts w:ascii="Arial" w:hAnsi="Arial" w:cs="Arial"/>
        </w:rPr>
        <w:t xml:space="preserve"> in an NR NTN cell</w:t>
      </w:r>
      <w:r w:rsidR="00F3617F" w:rsidRPr="00F42CF4">
        <w:rPr>
          <w:rFonts w:ascii="Arial" w:hAnsi="Arial" w:cs="Arial"/>
        </w:rPr>
        <w:t>.</w:t>
      </w:r>
    </w:p>
    <w:p w14:paraId="32B8E5C2" w14:textId="5D8ACCC8" w:rsidR="002F114D" w:rsidRDefault="002F114D" w:rsidP="00E31893">
      <w:pPr>
        <w:overflowPunct/>
        <w:autoSpaceDE/>
        <w:autoSpaceDN/>
        <w:adjustRightInd/>
        <w:spacing w:after="0"/>
        <w:textAlignment w:val="auto"/>
        <w:rPr>
          <w:rFonts w:ascii="Arial" w:eastAsia="SimSun" w:hAnsi="Arial" w:cs="Arial"/>
          <w:color w:val="0000CC"/>
          <w:lang w:eastAsia="ko-KR"/>
        </w:rPr>
      </w:pP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7135484A"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 xml:space="preserve">support for broadcasting </w:t>
      </w:r>
      <w:r w:rsidR="005600F8">
        <w:rPr>
          <w:rFonts w:ascii="Arial" w:hAnsi="Arial" w:cs="Arial"/>
        </w:rPr>
        <w:t xml:space="preserve">of </w:t>
      </w:r>
      <w:r w:rsidR="00F3617F">
        <w:rPr>
          <w:rFonts w:ascii="Arial" w:hAnsi="Arial" w:cs="Arial"/>
        </w:rPr>
        <w:t>multiple TACs</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35B54" w14:textId="77777777" w:rsidR="00E16DB4" w:rsidRDefault="00E16DB4">
      <w:pPr>
        <w:spacing w:after="0"/>
      </w:pPr>
      <w:r>
        <w:separator/>
      </w:r>
    </w:p>
  </w:endnote>
  <w:endnote w:type="continuationSeparator" w:id="0">
    <w:p w14:paraId="193BCB77" w14:textId="77777777" w:rsidR="00E16DB4" w:rsidRDefault="00E16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67738" w14:textId="77777777" w:rsidR="00E16DB4" w:rsidRDefault="00E16DB4">
      <w:pPr>
        <w:spacing w:after="0"/>
      </w:pPr>
      <w:r>
        <w:separator/>
      </w:r>
    </w:p>
  </w:footnote>
  <w:footnote w:type="continuationSeparator" w:id="0">
    <w:p w14:paraId="31E422AC" w14:textId="77777777" w:rsidR="00E16DB4" w:rsidRDefault="00E16D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B12BD"/>
    <w:rsid w:val="000D4915"/>
    <w:rsid w:val="000F55C1"/>
    <w:rsid w:val="000F6242"/>
    <w:rsid w:val="001227E9"/>
    <w:rsid w:val="00132CD5"/>
    <w:rsid w:val="00151FE2"/>
    <w:rsid w:val="00152161"/>
    <w:rsid w:val="00164C7C"/>
    <w:rsid w:val="001947B9"/>
    <w:rsid w:val="001A33AF"/>
    <w:rsid w:val="00217F62"/>
    <w:rsid w:val="00266A8F"/>
    <w:rsid w:val="002F114D"/>
    <w:rsid w:val="002F164C"/>
    <w:rsid w:val="002F1940"/>
    <w:rsid w:val="00353393"/>
    <w:rsid w:val="003627F2"/>
    <w:rsid w:val="00383545"/>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75911"/>
    <w:rsid w:val="00496DBC"/>
    <w:rsid w:val="004C6502"/>
    <w:rsid w:val="004E04B7"/>
    <w:rsid w:val="004E3939"/>
    <w:rsid w:val="00504CA4"/>
    <w:rsid w:val="0051149D"/>
    <w:rsid w:val="005467A1"/>
    <w:rsid w:val="005600F8"/>
    <w:rsid w:val="005C296C"/>
    <w:rsid w:val="005D10A3"/>
    <w:rsid w:val="005D50E4"/>
    <w:rsid w:val="00627FE8"/>
    <w:rsid w:val="00630168"/>
    <w:rsid w:val="00683992"/>
    <w:rsid w:val="006D6E01"/>
    <w:rsid w:val="00713C97"/>
    <w:rsid w:val="00743406"/>
    <w:rsid w:val="007500F7"/>
    <w:rsid w:val="00755FA3"/>
    <w:rsid w:val="007577BA"/>
    <w:rsid w:val="007708F7"/>
    <w:rsid w:val="007B63C1"/>
    <w:rsid w:val="007D5141"/>
    <w:rsid w:val="007E3E71"/>
    <w:rsid w:val="007E74EA"/>
    <w:rsid w:val="007F4B6D"/>
    <w:rsid w:val="007F4F92"/>
    <w:rsid w:val="007F54C9"/>
    <w:rsid w:val="0086019D"/>
    <w:rsid w:val="00862400"/>
    <w:rsid w:val="008646B8"/>
    <w:rsid w:val="008751BD"/>
    <w:rsid w:val="00882DC0"/>
    <w:rsid w:val="00891008"/>
    <w:rsid w:val="008B1339"/>
    <w:rsid w:val="008B5840"/>
    <w:rsid w:val="008B7B2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B05BFF"/>
    <w:rsid w:val="00B335B8"/>
    <w:rsid w:val="00B356FB"/>
    <w:rsid w:val="00B6219D"/>
    <w:rsid w:val="00B62A25"/>
    <w:rsid w:val="00B70E95"/>
    <w:rsid w:val="00B832F9"/>
    <w:rsid w:val="00B97703"/>
    <w:rsid w:val="00BC7F8F"/>
    <w:rsid w:val="00BD4D5E"/>
    <w:rsid w:val="00C01721"/>
    <w:rsid w:val="00C25781"/>
    <w:rsid w:val="00C65F2F"/>
    <w:rsid w:val="00CE255C"/>
    <w:rsid w:val="00CF6087"/>
    <w:rsid w:val="00D32D4E"/>
    <w:rsid w:val="00D40F13"/>
    <w:rsid w:val="00D66E50"/>
    <w:rsid w:val="00D727FA"/>
    <w:rsid w:val="00DA1CC6"/>
    <w:rsid w:val="00DB7A7C"/>
    <w:rsid w:val="00DE6A80"/>
    <w:rsid w:val="00E05313"/>
    <w:rsid w:val="00E16DB4"/>
    <w:rsid w:val="00E31893"/>
    <w:rsid w:val="00E54B0F"/>
    <w:rsid w:val="00E56B5A"/>
    <w:rsid w:val="00E77DAB"/>
    <w:rsid w:val="00E9006B"/>
    <w:rsid w:val="00ED5B6E"/>
    <w:rsid w:val="00EF48B4"/>
    <w:rsid w:val="00F07126"/>
    <w:rsid w:val="00F337A3"/>
    <w:rsid w:val="00F3617F"/>
    <w:rsid w:val="00F363C3"/>
    <w:rsid w:val="00F42CF4"/>
    <w:rsid w:val="00F5472D"/>
    <w:rsid w:val="00F60617"/>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535</Words>
  <Characters>3052</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3580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SE-r01</cp:lastModifiedBy>
  <cp:revision>13</cp:revision>
  <cp:lastPrinted>2002-04-23T07:10:00Z</cp:lastPrinted>
  <dcterms:created xsi:type="dcterms:W3CDTF">2021-10-08T05:45:00Z</dcterms:created>
  <dcterms:modified xsi:type="dcterms:W3CDTF">2022-01-28T22:33:00Z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